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/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>I POGRUPIS</w:t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593"/>
        <w:gridCol w:w="1920"/>
        <w:gridCol w:w="1919"/>
        <w:gridCol w:w="1869"/>
        <w:gridCol w:w="688"/>
        <w:gridCol w:w="1801"/>
        <w:gridCol w:w="1541"/>
        <w:gridCol w:w="672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Rungtynių rezultatai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eastAsia="SimSun" w:cs="Arial" w:ascii="Times New Roman" w:hAnsi="Times New Roman"/>
                <w:b/>
                <w:bCs/>
                <w:color w:val="003333"/>
                <w:kern w:val="2"/>
                <w:sz w:val="24"/>
                <w:szCs w:val="24"/>
                <w:lang w:val="lt-LT" w:eastAsia="zh-CN" w:bidi="hi-IN"/>
              </w:rPr>
              <w:t>Klaipėdos</w:t>
            </w:r>
            <w:r>
              <w:rPr>
                <w:rFonts w:ascii="Times New Roman" w:hAnsi="Times New Roman"/>
                <w:b/>
                <w:bCs/>
                <w:color w:val="003333"/>
              </w:rPr>
              <w:t xml:space="preserve">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Alytaus apskr. VPK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Kauno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/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II POGRUPIS </w:t>
      </w:r>
      <w:r>
        <w:rPr>
          <w:rFonts w:ascii="Times New Roman" w:hAnsi="Times New Roman"/>
          <w:b/>
          <w:bCs/>
          <w:lang w:val="en-US"/>
        </w:rPr>
        <w:t>(</w:t>
      </w:r>
      <w:r>
        <w:rPr>
          <w:rFonts w:ascii="Times New Roman" w:hAnsi="Times New Roman"/>
          <w:b/>
          <w:bCs/>
          <w:lang w:val="lt-LT"/>
        </w:rPr>
        <w:t>ŠIAULIAI</w:t>
      </w:r>
      <w:r>
        <w:rPr>
          <w:rFonts w:ascii="Times New Roman" w:hAnsi="Times New Roman"/>
          <w:b/>
          <w:bCs/>
          <w:lang w:val="en-US"/>
        </w:rPr>
        <w:t>)</w:t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593"/>
        <w:gridCol w:w="1920"/>
        <w:gridCol w:w="1919"/>
        <w:gridCol w:w="1869"/>
        <w:gridCol w:w="688"/>
        <w:gridCol w:w="1801"/>
        <w:gridCol w:w="1541"/>
        <w:gridCol w:w="672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Rungtynių rezultatai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eastAsia="SimSun" w:cs="Arial" w:ascii="Times New Roman" w:hAnsi="Times New Roman"/>
                <w:b/>
                <w:bCs/>
                <w:color w:val="003333"/>
                <w:kern w:val="2"/>
                <w:sz w:val="24"/>
                <w:szCs w:val="24"/>
                <w:lang w:val="lt-LT" w:eastAsia="zh-CN" w:bidi="hi-IN"/>
              </w:rPr>
              <w:t>Panevėžio</w:t>
            </w:r>
            <w:r>
              <w:rPr>
                <w:rFonts w:ascii="Times New Roman" w:hAnsi="Times New Roman"/>
                <w:b/>
                <w:bCs/>
                <w:color w:val="003333"/>
              </w:rPr>
              <w:t xml:space="preserve">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3</w:t>
            </w:r>
            <w:r>
              <w:rPr>
                <w:rFonts w:ascii="Times New Roman" w:hAnsi="Times New Roman"/>
                <w:u w:val="single"/>
                <w:lang w:val="en-US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3</w:t>
            </w:r>
            <w:r>
              <w:rPr>
                <w:rFonts w:ascii="Times New Roman" w:hAnsi="Times New Roman"/>
                <w:u w:val="single"/>
                <w:lang w:val="en-US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6</w:t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6</w:t>
            </w:r>
            <w:r>
              <w:rPr>
                <w:rFonts w:ascii="Times New Roman" w:hAnsi="Times New Roman"/>
                <w:u w:val="single"/>
                <w:lang w:val="en-US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+6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156</w:t>
            </w:r>
            <w:r>
              <w:rPr>
                <w:rFonts w:ascii="Times New Roman" w:hAnsi="Times New Roman"/>
                <w:u w:val="single"/>
                <w:lang w:val="en-US"/>
              </w:rPr>
              <w:t>:114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+42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Tauragės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0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0</w:t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6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none"/>
                <w:lang w:val="en-US"/>
              </w:rPr>
            </w:pPr>
            <w:r>
              <w:rPr>
                <w:rFonts w:ascii="Times New Roman" w:hAnsi="Times New Roman"/>
                <w:u w:val="none"/>
                <w:lang w:val="en-US"/>
              </w:rPr>
              <w:t>-6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  <w:lang w:val="en-US"/>
              </w:rPr>
              <w:t>136: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156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-20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III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Šiaulių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0:3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0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3</w:t>
            </w:r>
            <w:r>
              <w:rPr>
                <w:rFonts w:ascii="Times New Roman" w:hAnsi="Times New Roman"/>
                <w:u w:val="single"/>
                <w:lang w:val="en-US"/>
              </w:rPr>
              <w:t>:0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bCs/>
                <w:u w:val="none"/>
                <w:lang w:val="en-US"/>
              </w:rPr>
              <w:t>3</w:t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3:3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none"/>
                <w:lang w:val="en-US"/>
              </w:rPr>
            </w:pPr>
            <w:r>
              <w:rPr>
                <w:rFonts w:ascii="Times New Roman" w:hAnsi="Times New Roman"/>
                <w:u w:val="none"/>
                <w:lang w:val="en-US"/>
              </w:rPr>
              <w:t>0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  <w:lang w:val="en-US"/>
              </w:rPr>
              <w:t>116:</w:t>
            </w:r>
            <w:r>
              <w:rPr>
                <w:rFonts w:ascii="Times New Roman" w:hAnsi="Times New Roman"/>
                <w:b/>
                <w:bCs/>
                <w:u w:val="single"/>
                <w:lang w:val="en-US"/>
              </w:rPr>
              <w:t>138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u w:val="none"/>
                <w:lang w:val="en-US"/>
              </w:rPr>
              <w:t>-22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II</w:t>
            </w:r>
          </w:p>
        </w:tc>
      </w:tr>
    </w:tbl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/>
      </w:r>
    </w:p>
    <w:p>
      <w:pPr>
        <w:pStyle w:val="TextBody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>III POGRUPIS</w:t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3593"/>
        <w:gridCol w:w="1920"/>
        <w:gridCol w:w="1919"/>
        <w:gridCol w:w="1869"/>
        <w:gridCol w:w="688"/>
        <w:gridCol w:w="1801"/>
        <w:gridCol w:w="1541"/>
        <w:gridCol w:w="672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Rungtynių rezultatai</w:t>
            </w: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Taškai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Setų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(laimėta/pralaimėta)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Taškų santykis</w:t>
            </w:r>
          </w:p>
          <w:p>
            <w:pPr>
              <w:pStyle w:val="TableContents"/>
              <w:widowControl w:val="false"/>
              <w:tabs>
                <w:tab w:val="clear" w:pos="709"/>
                <w:tab w:val="left" w:pos="900" w:leader="none"/>
              </w:tabs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(pelnyta/praleista)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>Vieta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Vilniaus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Marijampolės apskr. VPK</w:t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u w:val="single"/>
              </w:rPr>
            </w:pPr>
            <w:r>
              <w:rPr>
                <w:rFonts w:ascii="Times New Roman" w:hAnsi="Times New Roman"/>
                <w:b w:val="false"/>
                <w:bCs w:val="false"/>
                <w:u w:val="single"/>
              </w:rPr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color w:val="003333"/>
              </w:rPr>
            </w:pPr>
            <w:r>
              <w:rPr>
                <w:rFonts w:ascii="Times New Roman" w:hAnsi="Times New Roman"/>
                <w:b/>
                <w:bCs/>
                <w:color w:val="003333"/>
              </w:rPr>
              <w:t>Telšių apskr. VPK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9105" cy="369570"/>
                  <wp:effectExtent l="0" t="0" r="0" b="0"/>
                  <wp:wrapSquare wrapText="largest"/>
                  <wp:docPr id="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lang w:val="lt-LT"/>
        </w:rPr>
      </w:pPr>
      <w:r>
        <w:rPr/>
      </w:r>
    </w:p>
    <w:sectPr>
      <w:headerReference w:type="default" r:id="rId11"/>
      <w:type w:val="nextPage"/>
      <w:pgSz w:orient="landscape" w:w="16838" w:h="11906"/>
      <w:pgMar w:left="1134" w:right="1134" w:header="283" w:top="623" w:footer="0" w:bottom="28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spacing w:lineRule="auto" w:line="240" w:before="0" w:after="0"/>
      <w:jc w:val="center"/>
      <w:rPr/>
    </w:pPr>
    <w:r>
      <w:rPr>
        <w:rFonts w:ascii="Times New Roman" w:hAnsi="Times New Roman"/>
        <w:b/>
        <w:bCs/>
        <w:color w:val="000000"/>
        <w:lang w:val="lt-LT" w:bidi="ar-SA"/>
      </w:rPr>
      <w:t>LIETUVOS POLICIJOS MIŠRIOJO TINKLINIO TURNYRAS</w:t>
    </w:r>
  </w:p>
  <w:p>
    <w:pPr>
      <w:pStyle w:val="Normal"/>
      <w:bidi w:val="0"/>
      <w:spacing w:lineRule="auto" w:line="240" w:before="0" w:after="0"/>
      <w:jc w:val="center"/>
      <w:rPr/>
    </w:pPr>
    <w:r>
      <w:rPr>
        <w:rFonts w:eastAsia="SimSun" w:cs="Arial" w:ascii="Times New Roman" w:hAnsi="Times New Roman"/>
        <w:b/>
        <w:bCs/>
        <w:color w:val="000000"/>
        <w:kern w:val="2"/>
        <w:sz w:val="24"/>
        <w:szCs w:val="24"/>
        <w:lang w:val="lt-LT" w:eastAsia="zh-CN" w:bidi="ar-SA"/>
      </w:rPr>
      <w:t>PIRMASIS ETAPAS</w:t>
    </w:r>
  </w:p>
  <w:p>
    <w:pPr>
      <w:pStyle w:val="Normal"/>
      <w:bidi w:val="0"/>
      <w:spacing w:lineRule="auto" w:line="240" w:before="0" w:after="0"/>
      <w:jc w:val="center"/>
      <w:rPr/>
    </w:pPr>
    <w:r>
      <w:rPr>
        <w:rFonts w:ascii="Times New Roman" w:hAnsi="Times New Roman"/>
        <w:b/>
        <w:bCs/>
      </w:rPr>
      <w:t>2023 M.</w:t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lt-L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477</TotalTime>
  <Application>LibreOffice/7.0.0.3$Windows_X86_64 LibreOffice_project/8061b3e9204bef6b321a21033174034a5e2ea88e</Application>
  <Pages>1</Pages>
  <Words>121</Words>
  <Characters>676</Characters>
  <CharactersWithSpaces>716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2017-10-19T15:54:57Z</dcterms:created>
  <dc:creator/>
  <dc:description/>
  <dc:language>lt-LT</dc:language>
  <cp:lastModifiedBy>Ernestas Vaitkevičius</cp:lastModifiedBy>
  <cp:lastPrinted>2022-12-01T10:04:24Z</cp:lastPrinted>
  <dcterms:modified xsi:type="dcterms:W3CDTF">2023-10-27T08:47:14Z</dcterms:modified>
  <cp:revision>53</cp:revision>
  <dc:subject/>
  <dc:title/>
</cp:coreProperties>
</file>